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EEB" w:rsidRPr="00E04EEB" w:rsidRDefault="00E04EEB" w:rsidP="00E04EEB">
      <w:pPr>
        <w:spacing w:before="100" w:beforeAutospacing="1" w:after="100" w:afterAutospacing="1" w:line="240" w:lineRule="auto"/>
        <w:outlineLvl w:val="0"/>
        <w:rPr>
          <w:rFonts w:eastAsia="Times New Roman" w:cs="Times New Roman"/>
          <w:b/>
          <w:bCs/>
          <w:noProof w:val="0"/>
          <w:kern w:val="36"/>
          <w:lang w:eastAsia="nl-BE"/>
        </w:rPr>
      </w:pPr>
      <w:r w:rsidRPr="00E04EEB">
        <w:rPr>
          <w:rFonts w:eastAsia="Times New Roman" w:cs="Times New Roman"/>
          <w:b/>
          <w:bCs/>
          <w:noProof w:val="0"/>
          <w:kern w:val="36"/>
          <w:sz w:val="28"/>
          <w:lang w:eastAsia="nl-BE"/>
        </w:rPr>
        <w:t xml:space="preserve">Enzymgebaseerde reiniging van biologisch vervuilde bouwdelen – bron: WTCB-website:  </w:t>
      </w:r>
      <w:hyperlink r:id="rId5" w:history="1">
        <w:r w:rsidRPr="00E80E1D">
          <w:rPr>
            <w:rStyle w:val="Hyperlink"/>
            <w:rFonts w:eastAsia="Times New Roman" w:cs="Times New Roman"/>
            <w:b/>
            <w:bCs/>
            <w:noProof w:val="0"/>
            <w:kern w:val="36"/>
            <w:lang w:eastAsia="nl-BE"/>
          </w:rPr>
          <w:t>http://www.wtcb.be/homepage/index.cfm?cat=publications&amp;sub=bbri-contact&amp;pag=Contact50&amp;art=751</w:t>
        </w:r>
      </w:hyperlink>
      <w:r>
        <w:rPr>
          <w:rFonts w:eastAsia="Times New Roman" w:cs="Times New Roman"/>
          <w:b/>
          <w:bCs/>
          <w:noProof w:val="0"/>
          <w:kern w:val="36"/>
          <w:lang w:eastAsia="nl-BE"/>
        </w:rPr>
        <w:t xml:space="preserve"> </w:t>
      </w:r>
    </w:p>
    <w:p w:rsidR="00E04EEB" w:rsidRPr="00E04EEB" w:rsidRDefault="00E04EEB" w:rsidP="00E04EEB">
      <w:pPr>
        <w:spacing w:after="0" w:line="240" w:lineRule="auto"/>
        <w:rPr>
          <w:rFonts w:eastAsia="Times New Roman" w:cs="Times New Roman"/>
          <w:noProof w:val="0"/>
          <w:lang w:eastAsia="nl-BE"/>
        </w:rPr>
      </w:pPr>
      <w:r w:rsidRPr="00E04EEB">
        <w:rPr>
          <w:rFonts w:eastAsia="Times New Roman" w:cs="Times New Roman"/>
          <w:noProof w:val="0"/>
          <w:lang w:eastAsia="nl-BE"/>
        </w:rPr>
        <w:t>De courant gebruikte reinigingsmethoden voor biologisch vervuilde bouwdelen zijn omwille van het gebruik van hoge waterdrukken en chemicaliën veelal schadelijk voor de ondergrond, de gezondheid van de gebruiker en het milieu. Gelet op hun gerichte en minder schadelijke werking, zouden de reeds in bepaalde reinigingsmiddelen toegepaste enzymen (bv. voor de verwijdering van vlekken uit natuursteen) in deze context een goed alternatief kunnen vormen. Dit artikel gaat dieper in op de biologische vervuiling en maakt een vergelijking van de klassieke reinigingsbehandeling met de enzymgebaseerde reiniging.</w:t>
      </w:r>
    </w:p>
    <w:p w:rsidR="00E04EEB" w:rsidRPr="00E04EEB" w:rsidRDefault="00E04EEB" w:rsidP="00E04EEB">
      <w:pPr>
        <w:spacing w:before="100" w:beforeAutospacing="1" w:after="100" w:afterAutospacing="1" w:line="240" w:lineRule="auto"/>
        <w:outlineLvl w:val="1"/>
        <w:rPr>
          <w:rFonts w:eastAsia="Times New Roman" w:cs="Times New Roman"/>
          <w:b/>
          <w:bCs/>
          <w:noProof w:val="0"/>
          <w:lang w:eastAsia="nl-BE"/>
        </w:rPr>
      </w:pPr>
      <w:r w:rsidRPr="00E04EEB">
        <w:rPr>
          <w:rFonts w:eastAsia="Times New Roman" w:cs="Times New Roman"/>
          <w:b/>
          <w:bCs/>
          <w:noProof w:val="0"/>
          <w:lang w:eastAsia="nl-BE"/>
        </w:rPr>
        <w:t>Biologische vervuiling van bouwdelen</w:t>
      </w:r>
    </w:p>
    <w:p w:rsidR="00E04EEB" w:rsidRPr="00E04EEB" w:rsidRDefault="00E04EEB" w:rsidP="00E04EEB">
      <w:pPr>
        <w:spacing w:after="0" w:line="240" w:lineRule="auto"/>
        <w:rPr>
          <w:rFonts w:eastAsia="Times New Roman" w:cs="Times New Roman"/>
          <w:noProof w:val="0"/>
          <w:lang w:eastAsia="nl-BE"/>
        </w:rPr>
      </w:pPr>
      <w:r w:rsidRPr="00E04EEB">
        <w:rPr>
          <w:rFonts w:eastAsia="Times New Roman" w:cs="Times New Roman"/>
          <w:noProof w:val="0"/>
          <w:lang w:eastAsia="nl-BE"/>
        </w:rPr>
        <w:t>Een biologische vervuiling wordt veroorzaakt door het samenleven van verschillende organismen zoals bacteriën, cyanobacteriën en algen. Deze bouwen rondom zich een slijmlaag op die enerzijds voor een goede aanhechting aan het oppervlak zorgt en anderzijds de uitbreiding van de vervuiling met complexere organismen zoals korstmossen, mossen en zelfs planten in de hand werkt.</w:t>
      </w:r>
      <w:r w:rsidRPr="00E04EEB">
        <w:rPr>
          <w:rFonts w:eastAsia="Times New Roman" w:cs="Times New Roman"/>
          <w:noProof w:val="0"/>
          <w:lang w:eastAsia="nl-BE"/>
        </w:rPr>
        <w:br/>
      </w:r>
      <w:r w:rsidRPr="00E04EEB">
        <w:rPr>
          <w:rFonts w:eastAsia="Times New Roman" w:cs="Times New Roman"/>
          <w:noProof w:val="0"/>
          <w:lang w:eastAsia="nl-BE"/>
        </w:rPr>
        <w:br/>
        <w:t>Cyanobacteriën, algen, mossen en korstmossen doen net zoals planten aan fotosynthese. Dit betekent dat ze voor hun voedingsstoffen slechts in zeer beperkte mate afhankelijk zijn van het oppervlak waarop ze groeien. De beschikbaarheid van water vormt echter wel een noodzakelijke vereiste om hun groei mogelijk te maken. De voornaamste vochtbronnen voor de gebouwschil zijn (windgedreven) regenval en afstroming, alsook oppervlaktecondensatie. Dit laatste verschijnsel treedt op wanneer de oppervlaktetemperatuur onder het dauwpunt van de omgevingslucht daalt. Enkele huidige bouwtrends, waaronder het gebruik van systemen met een beperkte thermische inertie, zorgen voor een stijging van de gevoeligheid van de gebouwschil voor condensatiefenomenen en van het ermee gepaard gaande risico op de ontwikkeling van een biologische vervuiling.</w:t>
      </w:r>
      <w:r w:rsidRPr="00E04EEB">
        <w:rPr>
          <w:rFonts w:eastAsia="Times New Roman" w:cs="Times New Roman"/>
          <w:noProof w:val="0"/>
          <w:lang w:eastAsia="nl-BE"/>
        </w:rPr>
        <w:br/>
      </w:r>
      <w:r w:rsidRPr="00E04EEB">
        <w:rPr>
          <w:rFonts w:eastAsia="Times New Roman" w:cs="Times New Roman"/>
          <w:noProof w:val="0"/>
          <w:lang w:eastAsia="nl-BE"/>
        </w:rPr>
        <w:br/>
        <w:t xml:space="preserve">In een vroeg ontwikkelingsstadium vormt een biologische vervuiling voornamelijk een esthetisch probleem. Naarmate deze vervuiling zich voortzet, verhoogt echter ook het risico op beschadigingen. Zo kunnen mossen die tussen de randen van een dakbedekking groeien, fungeren als een waterreservoir, wat leidt tot een verhoogde capillaire opzuiging tussen de materialen. De organismen kunnen tevens een versnelde verwering van het oppervlak en microscheurtjes met zich meebrengen, door bijvoorbeeld bepaalde zuren uit te scheiden of vocht langer vast te houden. </w:t>
      </w:r>
    </w:p>
    <w:p w:rsidR="00E04EEB" w:rsidRPr="00E04EEB" w:rsidRDefault="00E04EEB" w:rsidP="00E04EEB">
      <w:pPr>
        <w:spacing w:before="100" w:beforeAutospacing="1" w:after="100" w:afterAutospacing="1" w:line="240" w:lineRule="auto"/>
        <w:outlineLvl w:val="1"/>
        <w:rPr>
          <w:rFonts w:eastAsia="Times New Roman" w:cs="Times New Roman"/>
          <w:b/>
          <w:bCs/>
          <w:noProof w:val="0"/>
          <w:lang w:eastAsia="nl-BE"/>
        </w:rPr>
      </w:pPr>
      <w:r w:rsidRPr="00E04EEB">
        <w:rPr>
          <w:rFonts w:eastAsia="Times New Roman" w:cs="Times New Roman"/>
          <w:b/>
          <w:bCs/>
          <w:noProof w:val="0"/>
          <w:lang w:eastAsia="nl-BE"/>
        </w:rPr>
        <w:t>Klassieke reinigingsbenadering</w:t>
      </w:r>
    </w:p>
    <w:p w:rsidR="00E04EEB" w:rsidRPr="00E04EEB" w:rsidRDefault="00E04EEB" w:rsidP="00E04EEB">
      <w:pPr>
        <w:spacing w:after="0" w:line="240" w:lineRule="auto"/>
        <w:rPr>
          <w:rFonts w:eastAsia="Times New Roman" w:cs="Times New Roman"/>
          <w:noProof w:val="0"/>
          <w:lang w:eastAsia="nl-BE"/>
        </w:rPr>
      </w:pPr>
      <w:r w:rsidRPr="00E04EEB">
        <w:rPr>
          <w:rFonts w:eastAsia="Times New Roman" w:cs="Times New Roman"/>
          <w:noProof w:val="0"/>
          <w:lang w:eastAsia="nl-BE"/>
        </w:rPr>
        <w:t>Een enquête onder professionele reinigingsbedrijven toonde aan dat de reiniging van biologisch vervuilde dakoppervlakken meestal bestaat uit een waterdrukreiniging en een nabehandeling met een biocidegebaseerd (</w:t>
      </w:r>
      <w:hyperlink r:id="rId6" w:anchor="tc" w:history="1">
        <w:r w:rsidRPr="00E04EEB">
          <w:rPr>
            <w:rFonts w:eastAsia="Times New Roman" w:cs="Times New Roman"/>
            <w:noProof w:val="0"/>
            <w:color w:val="0000FF"/>
            <w:u w:val="single"/>
            <w:lang w:eastAsia="nl-BE"/>
          </w:rPr>
          <w:t>*</w:t>
        </w:r>
      </w:hyperlink>
      <w:r w:rsidRPr="00E04EEB">
        <w:rPr>
          <w:rFonts w:eastAsia="Times New Roman" w:cs="Times New Roman"/>
          <w:noProof w:val="0"/>
          <w:lang w:eastAsia="nl-BE"/>
        </w:rPr>
        <w:t xml:space="preserve">) product. De tweede meest gebruikte methode bestaat uit een voorbehandeling met een biocide gevolgd door een waterdrukreiniging. Hiertoe worden hoofdzakelijk chemische mengsels aangewend die als actief bestanddeel een quaternaire ammoniumverbinding bevatten. Dergelijke producten vallen onder de biocideregelgeving, wat betekent dat het op de Belgische markt aanbieden en het gebruik ervan toegestaan is mits toelating van de Federale Overheidsdienst ‘Volksgezondheid, veiligheid van de voedselketen en leefmilieu’. Dit blijft nog zeker zo tot 2019 wanneer op basis van een beoordelingsprogramma dat het effect van bestaande werkzame stoffen (waaronder quaternaire ammoniumverbindingen) op mens, dier en milieu onderzoekt, een advies uitgesproken zal worden over het gebruik van deze producten. </w:t>
      </w:r>
    </w:p>
    <w:p w:rsidR="00E04EEB" w:rsidRPr="00E04EEB" w:rsidRDefault="00E04EEB" w:rsidP="00E04EEB">
      <w:pPr>
        <w:spacing w:before="100" w:beforeAutospacing="1" w:after="100" w:afterAutospacing="1" w:line="240" w:lineRule="auto"/>
        <w:outlineLvl w:val="1"/>
        <w:rPr>
          <w:rFonts w:eastAsia="Times New Roman" w:cs="Times New Roman"/>
          <w:b/>
          <w:bCs/>
          <w:noProof w:val="0"/>
          <w:lang w:eastAsia="nl-BE"/>
        </w:rPr>
      </w:pPr>
      <w:r w:rsidRPr="00E04EEB">
        <w:rPr>
          <w:rFonts w:eastAsia="Times New Roman" w:cs="Times New Roman"/>
          <w:b/>
          <w:bCs/>
          <w:noProof w:val="0"/>
          <w:lang w:eastAsia="nl-BE"/>
        </w:rPr>
        <w:t>Enzymgebaseerde producten als alternatief</w:t>
      </w:r>
    </w:p>
    <w:p w:rsidR="00E04EEB" w:rsidRPr="00E04EEB" w:rsidRDefault="00E04EEB" w:rsidP="00E04EEB">
      <w:pPr>
        <w:spacing w:after="240" w:line="240" w:lineRule="auto"/>
        <w:rPr>
          <w:rFonts w:eastAsia="Times New Roman" w:cs="Times New Roman"/>
          <w:noProof w:val="0"/>
          <w:lang w:eastAsia="nl-BE"/>
        </w:rPr>
      </w:pPr>
      <w:r w:rsidRPr="00E04EEB">
        <w:rPr>
          <w:rFonts w:eastAsia="Times New Roman" w:cs="Times New Roman"/>
          <w:noProof w:val="0"/>
          <w:lang w:eastAsia="nl-BE"/>
        </w:rPr>
        <w:t>Hoewel enzymgebaseerde producten eveneens chemische mengsels zijn, bevatten deze als actief bestanddeel enzymen in plaats van een chemisch biocide. Enzymen zijn eiwitten die onder andere de bouwstenen en de aanhechting van een biologische vervuiling kunnen afbreken. Momenteel zijn er op de Belgische markt reeds enkele enzymgebaseerde producten beschikbaar, die specifiek gericht zijn tegen de biologische of atmosferische vervuiling van buitenoppervlakken. Dergelijke producten vallen vooralsnog niet onder de biociderichtlijn.</w:t>
      </w:r>
    </w:p>
    <w:tbl>
      <w:tblPr>
        <w:tblW w:w="5000" w:type="pct"/>
        <w:tblCellSpacing w:w="0" w:type="dxa"/>
        <w:tblCellMar>
          <w:left w:w="0" w:type="dxa"/>
          <w:right w:w="0" w:type="dxa"/>
        </w:tblCellMar>
        <w:tblLook w:val="04A0" w:firstRow="1" w:lastRow="0" w:firstColumn="1" w:lastColumn="0" w:noHBand="0" w:noVBand="1"/>
      </w:tblPr>
      <w:tblGrid>
        <w:gridCol w:w="5233"/>
        <w:gridCol w:w="5233"/>
      </w:tblGrid>
      <w:tr w:rsidR="00E04EEB" w:rsidRPr="00E04EEB" w:rsidTr="00E04EEB">
        <w:trPr>
          <w:tblCellSpacing w:w="0" w:type="dxa"/>
        </w:trPr>
        <w:tc>
          <w:tcPr>
            <w:tcW w:w="2500" w:type="pct"/>
            <w:vAlign w:val="center"/>
            <w:hideMark/>
          </w:tcPr>
          <w:p w:rsidR="00E04EEB" w:rsidRPr="00E04EEB" w:rsidRDefault="00E04EEB" w:rsidP="00E04EEB">
            <w:pPr>
              <w:spacing w:after="0" w:line="240" w:lineRule="auto"/>
              <w:rPr>
                <w:rFonts w:eastAsia="Times New Roman" w:cs="Times New Roman"/>
                <w:noProof w:val="0"/>
                <w:lang w:eastAsia="nl-BE"/>
              </w:rPr>
            </w:pPr>
            <w:r w:rsidRPr="00E04EEB">
              <w:rPr>
                <w:rFonts w:eastAsia="Times New Roman" w:cs="Times New Roman"/>
                <w:lang w:eastAsia="nl-BE"/>
              </w:rPr>
              <w:lastRenderedPageBreak/>
              <w:drawing>
                <wp:inline distT="0" distB="0" distL="0" distR="0">
                  <wp:extent cx="3248025" cy="3288625"/>
                  <wp:effectExtent l="0" t="0" r="0" b="7620"/>
                  <wp:docPr id="4" name="Afbeelding 4" descr="http://www.wtcb.be/homepage/media/img/publications/bbri-contact/751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tcb.be/homepage/media/img/publications/bbri-contact/751_1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6744" cy="3297453"/>
                          </a:xfrm>
                          <a:prstGeom prst="rect">
                            <a:avLst/>
                          </a:prstGeom>
                          <a:noFill/>
                          <a:ln>
                            <a:noFill/>
                          </a:ln>
                        </pic:spPr>
                      </pic:pic>
                    </a:graphicData>
                  </a:graphic>
                </wp:inline>
              </w:drawing>
            </w:r>
          </w:p>
        </w:tc>
        <w:tc>
          <w:tcPr>
            <w:tcW w:w="2500" w:type="pct"/>
            <w:vAlign w:val="center"/>
            <w:hideMark/>
          </w:tcPr>
          <w:p w:rsidR="00E04EEB" w:rsidRPr="00E04EEB" w:rsidRDefault="00E04EEB" w:rsidP="00E04EEB">
            <w:pPr>
              <w:spacing w:after="0" w:line="240" w:lineRule="auto"/>
              <w:rPr>
                <w:rFonts w:eastAsia="Times New Roman" w:cs="Times New Roman"/>
                <w:noProof w:val="0"/>
                <w:lang w:eastAsia="nl-BE"/>
              </w:rPr>
            </w:pPr>
            <w:r w:rsidRPr="00E04EEB">
              <w:rPr>
                <w:rFonts w:eastAsia="Times New Roman" w:cs="Times New Roman"/>
                <w:lang w:eastAsia="nl-BE"/>
              </w:rPr>
              <w:drawing>
                <wp:inline distT="0" distB="0" distL="0" distR="0">
                  <wp:extent cx="3254963" cy="3295650"/>
                  <wp:effectExtent l="0" t="0" r="3175" b="0"/>
                  <wp:docPr id="3" name="Afbeelding 3" descr="http://www.wtcb.be/homepage/media/img/publications/bbri-contact/751_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tcb.be/homepage/media/img/publications/bbri-contact/751_1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4472" cy="3305278"/>
                          </a:xfrm>
                          <a:prstGeom prst="rect">
                            <a:avLst/>
                          </a:prstGeom>
                          <a:noFill/>
                          <a:ln>
                            <a:noFill/>
                          </a:ln>
                        </pic:spPr>
                      </pic:pic>
                    </a:graphicData>
                  </a:graphic>
                </wp:inline>
              </w:drawing>
            </w:r>
          </w:p>
        </w:tc>
      </w:tr>
      <w:tr w:rsidR="00E04EEB" w:rsidRPr="00E04EEB" w:rsidTr="00E04EEB">
        <w:trPr>
          <w:tblCellSpacing w:w="0" w:type="dxa"/>
        </w:trPr>
        <w:tc>
          <w:tcPr>
            <w:tcW w:w="0" w:type="auto"/>
            <w:gridSpan w:val="2"/>
            <w:vAlign w:val="center"/>
            <w:hideMark/>
          </w:tcPr>
          <w:p w:rsidR="00E04EEB" w:rsidRPr="00E04EEB" w:rsidRDefault="00E04EEB" w:rsidP="00E04EEB">
            <w:pPr>
              <w:spacing w:after="0" w:line="240" w:lineRule="auto"/>
              <w:rPr>
                <w:rFonts w:eastAsia="Times New Roman" w:cs="Times New Roman"/>
                <w:noProof w:val="0"/>
                <w:lang w:eastAsia="nl-BE"/>
              </w:rPr>
            </w:pPr>
            <w:r w:rsidRPr="00E04EEB">
              <w:rPr>
                <w:rFonts w:eastAsia="Times New Roman" w:cs="Times New Roman"/>
                <w:b/>
                <w:bCs/>
                <w:noProof w:val="0"/>
                <w:lang w:eastAsia="nl-BE"/>
              </w:rPr>
              <w:t xml:space="preserve">1 | </w:t>
            </w:r>
            <w:r w:rsidRPr="00E04EEB">
              <w:rPr>
                <w:rFonts w:eastAsia="Times New Roman" w:cs="Times New Roman"/>
                <w:noProof w:val="0"/>
                <w:lang w:eastAsia="nl-BE"/>
              </w:rPr>
              <w:t>Pannendak vóór (links) en één week na (rechts) de toepassing van een enzymatisch product</w:t>
            </w:r>
          </w:p>
        </w:tc>
      </w:tr>
    </w:tbl>
    <w:p w:rsidR="00E04EEB" w:rsidRPr="00E04EEB" w:rsidRDefault="00E04EEB" w:rsidP="00E04EEB">
      <w:pPr>
        <w:spacing w:after="240" w:line="240" w:lineRule="auto"/>
        <w:rPr>
          <w:rFonts w:eastAsia="Times New Roman" w:cs="Times New Roman"/>
          <w:noProof w:val="0"/>
          <w:lang w:eastAsia="nl-BE"/>
        </w:rPr>
      </w:pPr>
      <w:r w:rsidRPr="00E04EEB">
        <w:rPr>
          <w:rFonts w:eastAsia="Times New Roman" w:cs="Times New Roman"/>
          <w:noProof w:val="0"/>
          <w:lang w:eastAsia="nl-BE"/>
        </w:rPr>
        <w:br/>
        <w:t xml:space="preserve">In het kader van het onderzoeksproject ‘RenoZym’ werd de reinigingsefficiëntie van deze producten geëvalueerd in vergelijking met een klassiek quaternair ammoniumgebaseerd biocide en dit, voor verschillende biologisch vervuilde ondergronden, waaronder gevelpleisters, betonklinkers en kleidakpannen. Voor nagenoeg al deze enzymatische producten werd een drietal dagen na de toepassing ervan door verneveling en in een door de fabrikant aangeraden concentratie een reinigingseffect of alleszins een verkleuring van de vervuiling waargenomen (zie afbeeldingen </w:t>
      </w:r>
      <w:hyperlink r:id="rId9" w:anchor="fig1" w:history="1">
        <w:r w:rsidRPr="00E04EEB">
          <w:rPr>
            <w:rFonts w:eastAsia="Times New Roman" w:cs="Times New Roman"/>
            <w:noProof w:val="0"/>
            <w:color w:val="0000FF"/>
            <w:u w:val="single"/>
            <w:lang w:eastAsia="nl-BE"/>
          </w:rPr>
          <w:t>1</w:t>
        </w:r>
      </w:hyperlink>
      <w:r w:rsidRPr="00E04EEB">
        <w:rPr>
          <w:rFonts w:eastAsia="Times New Roman" w:cs="Times New Roman"/>
          <w:noProof w:val="0"/>
          <w:lang w:eastAsia="nl-BE"/>
        </w:rPr>
        <w:t xml:space="preserve"> en </w:t>
      </w:r>
      <w:hyperlink r:id="rId10" w:anchor="fig2" w:history="1">
        <w:r w:rsidRPr="00E04EEB">
          <w:rPr>
            <w:rFonts w:eastAsia="Times New Roman" w:cs="Times New Roman"/>
            <w:noProof w:val="0"/>
            <w:color w:val="0000FF"/>
            <w:u w:val="single"/>
            <w:lang w:eastAsia="nl-BE"/>
          </w:rPr>
          <w:t>2</w:t>
        </w:r>
      </w:hyperlink>
      <w:r w:rsidRPr="00E04EEB">
        <w:rPr>
          <w:rFonts w:eastAsia="Times New Roman" w:cs="Times New Roman"/>
          <w:noProof w:val="0"/>
          <w:lang w:eastAsia="nl-BE"/>
        </w:rPr>
        <w:t xml:space="preserve">). Bovendien werd er naderhand voor geen enkele van deze ondergronden een zichtbare beschadiging vastgesteld. Het bekomen reinigingseffect is echter afhankelijk van de vervuilingsgraad van het bouwdeel. Zo volstaat bij een vervuiling die voornamelijk uit algen en beginnende mosontwikkeling bestaat, de verneveling (zie </w:t>
      </w:r>
      <w:hyperlink r:id="rId11" w:anchor="fig3" w:history="1">
        <w:r w:rsidRPr="00E04EEB">
          <w:rPr>
            <w:rFonts w:eastAsia="Times New Roman" w:cs="Times New Roman"/>
            <w:noProof w:val="0"/>
            <w:color w:val="0000FF"/>
            <w:u w:val="single"/>
            <w:lang w:eastAsia="nl-BE"/>
          </w:rPr>
          <w:t>afbeelding 3</w:t>
        </w:r>
      </w:hyperlink>
      <w:r w:rsidRPr="00E04EEB">
        <w:rPr>
          <w:rFonts w:eastAsia="Times New Roman" w:cs="Times New Roman"/>
          <w:noProof w:val="0"/>
          <w:lang w:eastAsia="nl-BE"/>
        </w:rPr>
        <w:t>) en inwerking van het product onder de weersinvloeden om een afdoende reiniging te bekomen. Bij een gevorderde ontwikkeling (mossen en korstmossen) zal, naast de toepassing van het product, een extra waterdrukafspoeling nodig zijn. Door de voorbehandeling met het enzymgebaseerde product kan deze drukafspoeling echter tegen een lagere en tevens aan de ondergrond aangepaste druk gebeuren.</w:t>
      </w:r>
    </w:p>
    <w:tbl>
      <w:tblPr>
        <w:tblW w:w="5000" w:type="pct"/>
        <w:tblCellSpacing w:w="0" w:type="dxa"/>
        <w:tblCellMar>
          <w:left w:w="0" w:type="dxa"/>
          <w:right w:w="0" w:type="dxa"/>
        </w:tblCellMar>
        <w:tblLook w:val="04A0" w:firstRow="1" w:lastRow="0" w:firstColumn="1" w:lastColumn="0" w:noHBand="0" w:noVBand="1"/>
      </w:tblPr>
      <w:tblGrid>
        <w:gridCol w:w="10466"/>
      </w:tblGrid>
      <w:tr w:rsidR="00E04EEB" w:rsidRPr="00E04EEB" w:rsidTr="00E04EEB">
        <w:trPr>
          <w:tblCellSpacing w:w="0" w:type="dxa"/>
        </w:trPr>
        <w:tc>
          <w:tcPr>
            <w:tcW w:w="0" w:type="auto"/>
            <w:vAlign w:val="center"/>
            <w:hideMark/>
          </w:tcPr>
          <w:p w:rsidR="00E04EEB" w:rsidRPr="00E04EEB" w:rsidRDefault="00E04EEB" w:rsidP="00E04EEB">
            <w:pPr>
              <w:spacing w:after="0" w:line="240" w:lineRule="auto"/>
              <w:rPr>
                <w:rFonts w:eastAsia="Times New Roman" w:cs="Times New Roman"/>
                <w:noProof w:val="0"/>
                <w:lang w:eastAsia="nl-BE"/>
              </w:rPr>
            </w:pPr>
            <w:r w:rsidRPr="00E04EEB">
              <w:rPr>
                <w:rFonts w:eastAsia="Times New Roman" w:cs="Times New Roman"/>
                <w:lang w:eastAsia="nl-BE"/>
              </w:rPr>
              <w:drawing>
                <wp:inline distT="0" distB="0" distL="0" distR="0">
                  <wp:extent cx="6276426" cy="3177441"/>
                  <wp:effectExtent l="0" t="0" r="0" b="4445"/>
                  <wp:docPr id="2" name="Afbeelding 2" descr="http://www.wtcb.be/homepage/media/img/publications/bbri-contact/75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tcb.be/homepage/media/img/publications/bbri-contact/751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8383" cy="3183494"/>
                          </a:xfrm>
                          <a:prstGeom prst="rect">
                            <a:avLst/>
                          </a:prstGeom>
                          <a:noFill/>
                          <a:ln>
                            <a:noFill/>
                          </a:ln>
                        </pic:spPr>
                      </pic:pic>
                    </a:graphicData>
                  </a:graphic>
                </wp:inline>
              </w:drawing>
            </w:r>
          </w:p>
        </w:tc>
      </w:tr>
      <w:tr w:rsidR="00E04EEB" w:rsidRPr="00E04EEB" w:rsidTr="00E04EEB">
        <w:trPr>
          <w:tblCellSpacing w:w="0" w:type="dxa"/>
        </w:trPr>
        <w:tc>
          <w:tcPr>
            <w:tcW w:w="0" w:type="auto"/>
            <w:vAlign w:val="center"/>
            <w:hideMark/>
          </w:tcPr>
          <w:p w:rsidR="00E04EEB" w:rsidRPr="00E04EEB" w:rsidRDefault="00E04EEB" w:rsidP="00E04EEB">
            <w:pPr>
              <w:spacing w:after="0" w:line="240" w:lineRule="auto"/>
              <w:rPr>
                <w:rFonts w:eastAsia="Times New Roman" w:cs="Times New Roman"/>
                <w:noProof w:val="0"/>
                <w:lang w:eastAsia="nl-BE"/>
              </w:rPr>
            </w:pPr>
            <w:r w:rsidRPr="00E04EEB">
              <w:rPr>
                <w:rFonts w:eastAsia="Times New Roman" w:cs="Times New Roman"/>
                <w:b/>
                <w:bCs/>
                <w:noProof w:val="0"/>
                <w:lang w:eastAsia="nl-BE"/>
              </w:rPr>
              <w:t xml:space="preserve">2 | </w:t>
            </w:r>
            <w:r w:rsidRPr="00E04EEB">
              <w:rPr>
                <w:rFonts w:eastAsia="Times New Roman" w:cs="Times New Roman"/>
                <w:noProof w:val="0"/>
                <w:lang w:eastAsia="nl-BE"/>
              </w:rPr>
              <w:t>Resultaat na drie dagen inwerking van drie verschillende enzymgebaseerde producten (E1, E2 en E3) en één chemisch product (C) op een natuurlijk vergroende gevelpleister</w:t>
            </w:r>
          </w:p>
        </w:tc>
      </w:tr>
    </w:tbl>
    <w:p w:rsidR="00E04EEB" w:rsidRPr="00E04EEB" w:rsidRDefault="00E04EEB" w:rsidP="00E04EEB">
      <w:pPr>
        <w:spacing w:after="0" w:line="240" w:lineRule="auto"/>
        <w:rPr>
          <w:rFonts w:eastAsia="Times New Roman" w:cs="Times New Roman"/>
          <w:noProof w:val="0"/>
          <w:lang w:eastAsia="nl-BE"/>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E04EEB" w:rsidRPr="00E04EEB" w:rsidTr="00E04EEB">
        <w:trPr>
          <w:tblCellSpacing w:w="0" w:type="dxa"/>
        </w:trPr>
        <w:tc>
          <w:tcPr>
            <w:tcW w:w="0" w:type="auto"/>
            <w:vAlign w:val="center"/>
            <w:hideMark/>
          </w:tcPr>
          <w:p w:rsidR="00E04EEB" w:rsidRPr="00E04EEB" w:rsidRDefault="00E04EEB" w:rsidP="00E04EEB">
            <w:pPr>
              <w:spacing w:after="0" w:line="240" w:lineRule="auto"/>
              <w:rPr>
                <w:rFonts w:eastAsia="Times New Roman" w:cs="Times New Roman"/>
                <w:noProof w:val="0"/>
                <w:lang w:eastAsia="nl-BE"/>
              </w:rPr>
            </w:pPr>
            <w:r w:rsidRPr="00E04EEB">
              <w:rPr>
                <w:rFonts w:eastAsia="Times New Roman" w:cs="Times New Roman"/>
                <w:lang w:eastAsia="nl-BE"/>
              </w:rPr>
              <w:lastRenderedPageBreak/>
              <w:drawing>
                <wp:inline distT="0" distB="0" distL="0" distR="0">
                  <wp:extent cx="6314410" cy="3196670"/>
                  <wp:effectExtent l="0" t="0" r="0" b="3810"/>
                  <wp:docPr id="1" name="Afbeelding 1" descr="http://www.wtcb.be/homepage/media/img/publications/bbri-contact/75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tcb.be/homepage/media/img/publications/bbri-contact/751_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1818" cy="3200420"/>
                          </a:xfrm>
                          <a:prstGeom prst="rect">
                            <a:avLst/>
                          </a:prstGeom>
                          <a:noFill/>
                          <a:ln>
                            <a:noFill/>
                          </a:ln>
                        </pic:spPr>
                      </pic:pic>
                    </a:graphicData>
                  </a:graphic>
                </wp:inline>
              </w:drawing>
            </w:r>
          </w:p>
        </w:tc>
      </w:tr>
      <w:tr w:rsidR="00E04EEB" w:rsidRPr="00E04EEB" w:rsidTr="00E04EEB">
        <w:trPr>
          <w:tblCellSpacing w:w="0" w:type="dxa"/>
        </w:trPr>
        <w:tc>
          <w:tcPr>
            <w:tcW w:w="0" w:type="auto"/>
            <w:vAlign w:val="center"/>
            <w:hideMark/>
          </w:tcPr>
          <w:p w:rsidR="00E04EEB" w:rsidRPr="00E04EEB" w:rsidRDefault="00E04EEB" w:rsidP="00E04EEB">
            <w:pPr>
              <w:spacing w:after="0" w:line="240" w:lineRule="auto"/>
              <w:rPr>
                <w:rFonts w:eastAsia="Times New Roman" w:cs="Times New Roman"/>
                <w:noProof w:val="0"/>
                <w:lang w:eastAsia="nl-BE"/>
              </w:rPr>
            </w:pPr>
            <w:r w:rsidRPr="00E04EEB">
              <w:rPr>
                <w:rFonts w:eastAsia="Times New Roman" w:cs="Times New Roman"/>
                <w:b/>
                <w:bCs/>
                <w:noProof w:val="0"/>
                <w:lang w:eastAsia="nl-BE"/>
              </w:rPr>
              <w:t xml:space="preserve">3 | </w:t>
            </w:r>
            <w:r w:rsidRPr="00E04EEB">
              <w:rPr>
                <w:rFonts w:eastAsia="Times New Roman" w:cs="Times New Roman"/>
                <w:noProof w:val="0"/>
                <w:lang w:eastAsia="nl-BE"/>
              </w:rPr>
              <w:t>Toepassing van een enzymgebaseerd product door verneveling</w:t>
            </w:r>
          </w:p>
        </w:tc>
      </w:tr>
    </w:tbl>
    <w:p w:rsidR="00E04EEB" w:rsidRPr="00E04EEB" w:rsidRDefault="00E04EEB" w:rsidP="00E04EEB">
      <w:pPr>
        <w:spacing w:after="240" w:line="240" w:lineRule="auto"/>
        <w:rPr>
          <w:rFonts w:eastAsia="Times New Roman" w:cs="Times New Roman"/>
          <w:noProof w:val="0"/>
          <w:lang w:eastAsia="nl-BE"/>
        </w:rPr>
      </w:pPr>
      <w:r w:rsidRPr="00E04EEB">
        <w:rPr>
          <w:rFonts w:eastAsia="Times New Roman" w:cs="Times New Roman"/>
          <w:noProof w:val="0"/>
          <w:lang w:eastAsia="nl-BE"/>
        </w:rPr>
        <w:br/>
        <w:t>Voornoemde enquête heeft aangetoond dat er binnen de sector reeds sporadisch gebruikgemaakt wordt van enzymatische producten. Deze worden veelal als enige behandelingsstap toegepast op ondergronden zoals natuurleien of verweerde, oude dakbedekkingen.</w:t>
      </w:r>
      <w:r w:rsidRPr="00E04EEB">
        <w:rPr>
          <w:rFonts w:eastAsia="Times New Roman" w:cs="Times New Roman"/>
          <w:noProof w:val="0"/>
          <w:lang w:eastAsia="nl-BE"/>
        </w:rPr>
        <w:br/>
      </w:r>
      <w:r w:rsidRPr="00E04EEB">
        <w:rPr>
          <w:rFonts w:eastAsia="Times New Roman" w:cs="Times New Roman"/>
          <w:noProof w:val="0"/>
          <w:lang w:eastAsia="nl-BE"/>
        </w:rPr>
        <w:br/>
        <w:t>Uit een risicobeoordeling van de toepassing van enzymgebaseerde producten in werf</w:t>
      </w:r>
      <w:r w:rsidRPr="00E04EEB">
        <w:rPr>
          <w:rFonts w:eastAsia="Times New Roman" w:cs="Times New Roman"/>
          <w:noProof w:val="0"/>
          <w:lang w:eastAsia="nl-BE"/>
        </w:rPr>
        <w:softHyphen/>
        <w:t xml:space="preserve">omstandigheden is gebleken dat er – in vergelijking met klassieke chemische biociden – effectief minder gevaren verbonden zijn aan hun gebruik. Het strekt echter wel steeds tot aanbeveling om de richtlijnen uit het veiligheidsinformatieblad van deze producten op te volgen. </w:t>
      </w:r>
    </w:p>
    <w:p w:rsidR="00E04EEB" w:rsidRPr="00E04EEB" w:rsidRDefault="00E04EEB" w:rsidP="00E04EEB">
      <w:pPr>
        <w:spacing w:before="100" w:beforeAutospacing="1" w:after="100" w:afterAutospacing="1" w:line="240" w:lineRule="auto"/>
        <w:outlineLvl w:val="0"/>
        <w:rPr>
          <w:rFonts w:eastAsia="Times New Roman" w:cs="Times New Roman"/>
          <w:b/>
          <w:bCs/>
          <w:noProof w:val="0"/>
          <w:kern w:val="36"/>
          <w:lang w:eastAsia="nl-BE"/>
        </w:rPr>
      </w:pPr>
      <w:r w:rsidRPr="00E04EEB">
        <w:rPr>
          <w:rFonts w:eastAsia="Times New Roman" w:cs="Times New Roman"/>
          <w:b/>
          <w:bCs/>
          <w:noProof w:val="0"/>
          <w:kern w:val="36"/>
          <w:lang w:eastAsia="nl-BE"/>
        </w:rPr>
        <w:t>Praktische tips</w:t>
      </w:r>
    </w:p>
    <w:p w:rsidR="00E04EEB" w:rsidRPr="00E04EEB" w:rsidRDefault="00E04EEB" w:rsidP="00E04EEB">
      <w:pPr>
        <w:numPr>
          <w:ilvl w:val="0"/>
          <w:numId w:val="1"/>
        </w:numPr>
        <w:spacing w:before="100" w:beforeAutospacing="1" w:after="100" w:afterAutospacing="1" w:line="240" w:lineRule="auto"/>
        <w:rPr>
          <w:rFonts w:eastAsia="Times New Roman" w:cs="Times New Roman"/>
          <w:noProof w:val="0"/>
          <w:lang w:eastAsia="nl-BE"/>
        </w:rPr>
      </w:pPr>
      <w:r w:rsidRPr="00E04EEB">
        <w:rPr>
          <w:rFonts w:eastAsia="Times New Roman" w:cs="Times New Roman"/>
          <w:noProof w:val="0"/>
          <w:lang w:eastAsia="nl-BE"/>
        </w:rPr>
        <w:t>Aan te brengen door verneveling in een door de fabrikant aangeraden concentratie.</w:t>
      </w:r>
    </w:p>
    <w:p w:rsidR="00E04EEB" w:rsidRPr="00E04EEB" w:rsidRDefault="00E04EEB" w:rsidP="00E04EEB">
      <w:pPr>
        <w:numPr>
          <w:ilvl w:val="0"/>
          <w:numId w:val="1"/>
        </w:numPr>
        <w:spacing w:before="100" w:beforeAutospacing="1" w:after="100" w:afterAutospacing="1" w:line="240" w:lineRule="auto"/>
        <w:rPr>
          <w:rFonts w:eastAsia="Times New Roman" w:cs="Times New Roman"/>
          <w:noProof w:val="0"/>
          <w:lang w:eastAsia="nl-BE"/>
        </w:rPr>
      </w:pPr>
      <w:r w:rsidRPr="00E04EEB">
        <w:rPr>
          <w:rFonts w:eastAsia="Times New Roman" w:cs="Times New Roman"/>
          <w:noProof w:val="0"/>
          <w:lang w:eastAsia="nl-BE"/>
        </w:rPr>
        <w:t>Aan te brengen op een droge tot licht vochtige ondergrond bij droog weer (ook na toepassing moet de ondergrond gedurende minimum 24 uur droog blijven).</w:t>
      </w:r>
    </w:p>
    <w:p w:rsidR="00E04EEB" w:rsidRPr="00E04EEB" w:rsidRDefault="00E04EEB" w:rsidP="00E04EEB">
      <w:pPr>
        <w:numPr>
          <w:ilvl w:val="0"/>
          <w:numId w:val="1"/>
        </w:numPr>
        <w:spacing w:before="100" w:beforeAutospacing="1" w:after="100" w:afterAutospacing="1" w:line="240" w:lineRule="auto"/>
        <w:rPr>
          <w:rFonts w:eastAsia="Times New Roman" w:cs="Times New Roman"/>
          <w:noProof w:val="0"/>
          <w:lang w:eastAsia="nl-BE"/>
        </w:rPr>
      </w:pPr>
      <w:r w:rsidRPr="00E04EEB">
        <w:rPr>
          <w:rFonts w:eastAsia="Times New Roman" w:cs="Times New Roman"/>
          <w:noProof w:val="0"/>
          <w:lang w:eastAsia="nl-BE"/>
        </w:rPr>
        <w:t>Kunnen toegepast worden bij kouder weer (tot 5 °C), maar zijn actiever bij hogere temperaturen.</w:t>
      </w:r>
    </w:p>
    <w:p w:rsidR="00E04EEB" w:rsidRPr="00E04EEB" w:rsidRDefault="00E04EEB" w:rsidP="00E04EEB">
      <w:pPr>
        <w:numPr>
          <w:ilvl w:val="0"/>
          <w:numId w:val="1"/>
        </w:numPr>
        <w:spacing w:before="100" w:beforeAutospacing="1" w:after="100" w:afterAutospacing="1" w:line="240" w:lineRule="auto"/>
        <w:rPr>
          <w:rFonts w:eastAsia="Times New Roman" w:cs="Times New Roman"/>
          <w:noProof w:val="0"/>
          <w:lang w:eastAsia="nl-BE"/>
        </w:rPr>
      </w:pPr>
      <w:r w:rsidRPr="00E04EEB">
        <w:rPr>
          <w:rFonts w:eastAsia="Times New Roman" w:cs="Times New Roman"/>
          <w:noProof w:val="0"/>
          <w:lang w:eastAsia="nl-BE"/>
        </w:rPr>
        <w:t>Vermijd toepassing bij zeer hoge temperaturen (≥ 30 °C) en zeker op in de vlakke zon gelegen oppervlakken.</w:t>
      </w:r>
    </w:p>
    <w:p w:rsidR="00E04EEB" w:rsidRPr="00E04EEB" w:rsidRDefault="00E04EEB" w:rsidP="00E04EEB">
      <w:pPr>
        <w:numPr>
          <w:ilvl w:val="0"/>
          <w:numId w:val="1"/>
        </w:numPr>
        <w:spacing w:before="100" w:beforeAutospacing="1" w:after="100" w:afterAutospacing="1" w:line="240" w:lineRule="auto"/>
        <w:rPr>
          <w:rFonts w:eastAsia="Times New Roman" w:cs="Times New Roman"/>
          <w:noProof w:val="0"/>
          <w:lang w:eastAsia="nl-BE"/>
        </w:rPr>
      </w:pPr>
      <w:r w:rsidRPr="00E04EEB">
        <w:rPr>
          <w:rFonts w:eastAsia="Times New Roman" w:cs="Times New Roman"/>
          <w:noProof w:val="0"/>
          <w:lang w:eastAsia="nl-BE"/>
        </w:rPr>
        <w:t>Afhankelijk van de vervuilingsgraad, kan het aanbrengen en het laten inwerken van het product onder de weers</w:t>
      </w:r>
      <w:r w:rsidRPr="00E04EEB">
        <w:rPr>
          <w:rFonts w:eastAsia="Times New Roman" w:cs="Times New Roman"/>
          <w:noProof w:val="0"/>
          <w:lang w:eastAsia="nl-BE"/>
        </w:rPr>
        <w:softHyphen/>
        <w:t>invloeden volstaan. Zo niet, is een extra waterdrukafspoeling bij aangepaste druk noodzakelijk.</w:t>
      </w:r>
    </w:p>
    <w:p w:rsidR="00E04EEB" w:rsidRPr="00E04EEB" w:rsidRDefault="00E04EEB" w:rsidP="00E04EEB">
      <w:pPr>
        <w:numPr>
          <w:ilvl w:val="0"/>
          <w:numId w:val="1"/>
        </w:numPr>
        <w:spacing w:before="100" w:beforeAutospacing="1" w:after="100" w:afterAutospacing="1" w:line="240" w:lineRule="auto"/>
        <w:rPr>
          <w:rFonts w:eastAsia="Times New Roman" w:cs="Times New Roman"/>
          <w:noProof w:val="0"/>
          <w:lang w:eastAsia="nl-BE"/>
        </w:rPr>
      </w:pPr>
      <w:r w:rsidRPr="00E04EEB">
        <w:rPr>
          <w:rFonts w:eastAsia="Times New Roman" w:cs="Times New Roman"/>
          <w:noProof w:val="0"/>
          <w:lang w:eastAsia="nl-BE"/>
        </w:rPr>
        <w:t>In het geval van een dakreiniging dient de dakafvoer naar de regenwatertank bij voorkeur afgeleid te worden naar de riolering tot na de eerste regenbui of dient de dakreiniging gecombineerd te worden met de lediging en reiniging van de regenwatertank.</w:t>
      </w:r>
    </w:p>
    <w:p w:rsidR="00E04EEB" w:rsidRPr="00E04EEB" w:rsidRDefault="00E04EEB" w:rsidP="00E04EEB">
      <w:pPr>
        <w:spacing w:after="0" w:line="240" w:lineRule="auto"/>
        <w:rPr>
          <w:rFonts w:eastAsia="Times New Roman" w:cs="Times New Roman"/>
          <w:noProof w:val="0"/>
          <w:lang w:eastAsia="nl-BE"/>
        </w:rPr>
      </w:pPr>
      <w:r w:rsidRPr="00E04EEB">
        <w:rPr>
          <w:rFonts w:eastAsia="Times New Roman" w:cs="Times New Roman"/>
          <w:noProof w:val="0"/>
          <w:lang w:eastAsia="nl-BE"/>
        </w:rPr>
        <w:t>J. Van Herreweghe, dr. ing., projectleider</w:t>
      </w:r>
      <w:r w:rsidRPr="00E04EEB">
        <w:rPr>
          <w:rFonts w:eastAsia="Times New Roman" w:cs="Times New Roman"/>
          <w:noProof w:val="0"/>
          <w:lang w:eastAsia="nl-BE"/>
        </w:rPr>
        <w:br/>
        <w:t>en K. Dinne, ing., laboratoriumhoofd, laboratorium Microbiologie en gezondheid, WTCB</w:t>
      </w:r>
      <w:r w:rsidRPr="00E04EEB">
        <w:rPr>
          <w:rFonts w:eastAsia="Times New Roman" w:cs="Times New Roman"/>
          <w:noProof w:val="0"/>
          <w:lang w:eastAsia="nl-BE"/>
        </w:rPr>
        <w:br/>
      </w:r>
      <w:r w:rsidRPr="00E04EEB">
        <w:rPr>
          <w:rFonts w:eastAsia="Times New Roman" w:cs="Times New Roman"/>
          <w:noProof w:val="0"/>
          <w:lang w:eastAsia="nl-BE"/>
        </w:rPr>
        <w:br/>
        <w:t>Dit artikel werd opgesteld in het kader van het ‘RenoZym’-project, met de financiële steun van de Service public de Wallonie (DG06).</w:t>
      </w:r>
    </w:p>
    <w:p w:rsidR="00E04EEB" w:rsidRPr="00E04EEB" w:rsidRDefault="00307EEB" w:rsidP="00E04EEB">
      <w:pPr>
        <w:spacing w:after="0" w:line="240" w:lineRule="auto"/>
        <w:rPr>
          <w:rFonts w:eastAsia="Times New Roman" w:cs="Times New Roman"/>
          <w:noProof w:val="0"/>
          <w:lang w:eastAsia="nl-BE"/>
        </w:rPr>
      </w:pPr>
      <w:r>
        <w:rPr>
          <w:rFonts w:eastAsia="Times New Roman" w:cs="Times New Roman"/>
          <w:lang w:eastAsia="nl-BE"/>
        </w:rPr>
        <w:pict>
          <v:rect id="_x0000_i1025" alt="" style="width:.05pt;height:.05pt;mso-width-percent:0;mso-height-percent:0;mso-width-percent:0;mso-height-percent:0" o:hralign="center" o:hrstd="t" o:hr="t" fillcolor="#a0a0a0" stroked="f"/>
        </w:pict>
      </w:r>
    </w:p>
    <w:p w:rsidR="00E04EEB" w:rsidRPr="00E04EEB" w:rsidRDefault="00E04EEB" w:rsidP="00E04EEB">
      <w:pPr>
        <w:spacing w:after="0" w:line="240" w:lineRule="auto"/>
        <w:rPr>
          <w:rFonts w:eastAsia="Times New Roman" w:cs="Times New Roman"/>
          <w:noProof w:val="0"/>
          <w:lang w:eastAsia="nl-BE"/>
        </w:rPr>
      </w:pPr>
      <w:r w:rsidRPr="00E04EEB">
        <w:rPr>
          <w:rFonts w:eastAsia="Times New Roman" w:cs="Times New Roman"/>
          <w:noProof w:val="0"/>
          <w:lang w:eastAsia="nl-BE"/>
        </w:rPr>
        <w:t>(*) Een biocide is een werkzame stof die tot doel heeft schadelijke organismen te vernietigen, af te schrikken, onschadelijk te maken, de effecten daarvan te voorkomen of op een andere dan louter fysieke of mechanische wijze te bestrijden (Publicatieblad van de Europese U</w:t>
      </w:r>
      <w:bookmarkStart w:id="0" w:name="_GoBack"/>
      <w:bookmarkEnd w:id="0"/>
      <w:r w:rsidRPr="00E04EEB">
        <w:rPr>
          <w:rFonts w:eastAsia="Times New Roman" w:cs="Times New Roman"/>
          <w:noProof w:val="0"/>
          <w:lang w:eastAsia="nl-BE"/>
        </w:rPr>
        <w:t>nie, L167, juni 2012)</w:t>
      </w:r>
    </w:p>
    <w:p w:rsidR="00D53613" w:rsidRPr="00E04EEB" w:rsidRDefault="00D078CA">
      <w:r>
        <w:drawing>
          <wp:inline distT="0" distB="0" distL="0" distR="0">
            <wp:extent cx="1323703" cy="770289"/>
            <wp:effectExtent l="0" t="0" r="0"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eurabo_nl_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0892" cy="786111"/>
                    </a:xfrm>
                    <a:prstGeom prst="rect">
                      <a:avLst/>
                    </a:prstGeom>
                  </pic:spPr>
                </pic:pic>
              </a:graphicData>
            </a:graphic>
          </wp:inline>
        </w:drawing>
      </w:r>
    </w:p>
    <w:sectPr w:rsidR="00D53613" w:rsidRPr="00E04EEB" w:rsidSect="00E04E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32C96"/>
    <w:multiLevelType w:val="multilevel"/>
    <w:tmpl w:val="8856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EEB"/>
    <w:rsid w:val="00307EEB"/>
    <w:rsid w:val="007C7B26"/>
    <w:rsid w:val="00D078CA"/>
    <w:rsid w:val="00D53613"/>
    <w:rsid w:val="00E04E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A4AE3-42CE-44AB-A09D-810FB9A8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noProof/>
    </w:rPr>
  </w:style>
  <w:style w:type="paragraph" w:styleId="Kop1">
    <w:name w:val="heading 1"/>
    <w:basedOn w:val="Standaard"/>
    <w:link w:val="Kop1Char"/>
    <w:uiPriority w:val="9"/>
    <w:qFormat/>
    <w:rsid w:val="00E04EEB"/>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nl-BE"/>
    </w:rPr>
  </w:style>
  <w:style w:type="paragraph" w:styleId="Kop2">
    <w:name w:val="heading 2"/>
    <w:basedOn w:val="Standaard"/>
    <w:link w:val="Kop2Char"/>
    <w:uiPriority w:val="9"/>
    <w:qFormat/>
    <w:rsid w:val="00E04EEB"/>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4EEB"/>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E04EEB"/>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unhideWhenUsed/>
    <w:rsid w:val="00E04EEB"/>
    <w:rPr>
      <w:color w:val="0000FF"/>
      <w:u w:val="single"/>
    </w:rPr>
  </w:style>
  <w:style w:type="character" w:styleId="Zwaar">
    <w:name w:val="Strong"/>
    <w:basedOn w:val="Standaardalinea-lettertype"/>
    <w:uiPriority w:val="22"/>
    <w:qFormat/>
    <w:rsid w:val="00E04EEB"/>
    <w:rPr>
      <w:b/>
      <w:bCs/>
    </w:rPr>
  </w:style>
  <w:style w:type="paragraph" w:styleId="Ballontekst">
    <w:name w:val="Balloon Text"/>
    <w:basedOn w:val="Standaard"/>
    <w:link w:val="BallontekstChar"/>
    <w:uiPriority w:val="99"/>
    <w:semiHidden/>
    <w:unhideWhenUsed/>
    <w:rsid w:val="00E04EE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4EEB"/>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192661">
      <w:bodyDiv w:val="1"/>
      <w:marLeft w:val="0"/>
      <w:marRight w:val="0"/>
      <w:marTop w:val="0"/>
      <w:marBottom w:val="0"/>
      <w:divBdr>
        <w:top w:val="none" w:sz="0" w:space="0" w:color="auto"/>
        <w:left w:val="none" w:sz="0" w:space="0" w:color="auto"/>
        <w:bottom w:val="none" w:sz="0" w:space="0" w:color="auto"/>
        <w:right w:val="none" w:sz="0" w:space="0" w:color="auto"/>
      </w:divBdr>
      <w:divsChild>
        <w:div w:id="826677507">
          <w:marLeft w:val="0"/>
          <w:marRight w:val="0"/>
          <w:marTop w:val="0"/>
          <w:marBottom w:val="0"/>
          <w:divBdr>
            <w:top w:val="none" w:sz="0" w:space="0" w:color="auto"/>
            <w:left w:val="none" w:sz="0" w:space="0" w:color="auto"/>
            <w:bottom w:val="none" w:sz="0" w:space="0" w:color="auto"/>
            <w:right w:val="none" w:sz="0" w:space="0" w:color="auto"/>
          </w:divBdr>
        </w:div>
        <w:div w:id="502361926">
          <w:marLeft w:val="0"/>
          <w:marRight w:val="0"/>
          <w:marTop w:val="0"/>
          <w:marBottom w:val="0"/>
          <w:divBdr>
            <w:top w:val="none" w:sz="0" w:space="0" w:color="auto"/>
            <w:left w:val="none" w:sz="0" w:space="0" w:color="auto"/>
            <w:bottom w:val="none" w:sz="0" w:space="0" w:color="auto"/>
            <w:right w:val="none" w:sz="0" w:space="0" w:color="auto"/>
          </w:divBdr>
        </w:div>
        <w:div w:id="1990284287">
          <w:marLeft w:val="0"/>
          <w:marRight w:val="0"/>
          <w:marTop w:val="0"/>
          <w:marBottom w:val="0"/>
          <w:divBdr>
            <w:top w:val="none" w:sz="0" w:space="0" w:color="auto"/>
            <w:left w:val="none" w:sz="0" w:space="0" w:color="auto"/>
            <w:bottom w:val="none" w:sz="0" w:space="0" w:color="auto"/>
            <w:right w:val="none" w:sz="0" w:space="0" w:color="auto"/>
          </w:divBdr>
        </w:div>
        <w:div w:id="11360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tcb.be/homepage/index.cfm?cat=publications&amp;sub=bbri-contact&amp;pag=Contact50&amp;art=751" TargetMode="External"/><Relationship Id="rId11" Type="http://schemas.openxmlformats.org/officeDocument/2006/relationships/hyperlink" Target="http://www.wtcb.be/homepage/index.cfm?cat=publications&amp;sub=bbri-contact&amp;pag=Contact50&amp;art=751" TargetMode="External"/><Relationship Id="rId5" Type="http://schemas.openxmlformats.org/officeDocument/2006/relationships/hyperlink" Target="http://www.wtcb.be/homepage/index.cfm?cat=publications&amp;sub=bbri-contact&amp;pag=Contact50&amp;art=751" TargetMode="External"/><Relationship Id="rId15" Type="http://schemas.openxmlformats.org/officeDocument/2006/relationships/fontTable" Target="fontTable.xml"/><Relationship Id="rId10" Type="http://schemas.openxmlformats.org/officeDocument/2006/relationships/hyperlink" Target="http://www.wtcb.be/homepage/index.cfm?cat=publications&amp;sub=bbri-contact&amp;pag=Contact50&amp;art=751" TargetMode="External"/><Relationship Id="rId4" Type="http://schemas.openxmlformats.org/officeDocument/2006/relationships/webSettings" Target="webSettings.xml"/><Relationship Id="rId9" Type="http://schemas.openxmlformats.org/officeDocument/2006/relationships/hyperlink" Target="http://www.wtcb.be/homepage/index.cfm?cat=publications&amp;sub=bbri-contact&amp;pag=Contact50&amp;art=751" TargetMode="Externa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1309</Words>
  <Characters>7202</Characters>
  <Application>Microsoft Office Word</Application>
  <DocSecurity>0</DocSecurity>
  <Lines>60</Lines>
  <Paragraphs>16</Paragraphs>
  <ScaleCrop>false</ScaleCrop>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Christiaan De Schuijmer</dc:creator>
  <cp:keywords/>
  <dc:description/>
  <cp:lastModifiedBy>Jona Suys</cp:lastModifiedBy>
  <cp:revision>2</cp:revision>
  <cp:lastPrinted>2016-05-24T09:25:00Z</cp:lastPrinted>
  <dcterms:created xsi:type="dcterms:W3CDTF">2016-05-24T09:23:00Z</dcterms:created>
  <dcterms:modified xsi:type="dcterms:W3CDTF">2018-08-27T13:54:00Z</dcterms:modified>
</cp:coreProperties>
</file>